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A4" w:rsidRPr="00232332" w:rsidRDefault="00E16BA4" w:rsidP="00E16BA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E16BA4" w:rsidRPr="00232332" w:rsidRDefault="00E16BA4" w:rsidP="00611BC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E16BA4" w:rsidRPr="00232332" w:rsidRDefault="00E16BA4" w:rsidP="00611BC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611BCB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E4212A">
        <w:rPr>
          <w:rFonts w:ascii="Times New Roman" w:eastAsia="Calibri" w:hAnsi="Times New Roman" w:cs="Times New Roman"/>
          <w:sz w:val="24"/>
        </w:rPr>
        <w:t>09.10.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4212A">
        <w:rPr>
          <w:rFonts w:ascii="Times New Roman" w:eastAsia="Calibri" w:hAnsi="Times New Roman" w:cs="Times New Roman"/>
          <w:sz w:val="24"/>
        </w:rPr>
        <w:t>466к</w:t>
      </w:r>
      <w:bookmarkStart w:id="0" w:name="_GoBack"/>
      <w:bookmarkEnd w:id="0"/>
    </w:p>
    <w:p w:rsidR="00E16BA4" w:rsidRPr="00232332" w:rsidRDefault="00E16BA4" w:rsidP="00E1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16BA4" w:rsidRPr="00232332" w:rsidRDefault="00E16BA4" w:rsidP="00E1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E16BA4" w:rsidRPr="00232332" w:rsidRDefault="00E16BA4" w:rsidP="00E1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E16BA4" w:rsidRPr="00232332" w:rsidRDefault="00E16BA4" w:rsidP="00E1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E16BA4" w:rsidRPr="00232332" w:rsidTr="00E42A0F"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 w:rsidR="009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 інтересів дітей та протидії насильству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E16BA4" w:rsidRPr="00232332" w:rsidTr="00E42A0F">
        <w:tc>
          <w:tcPr>
            <w:tcW w:w="10031" w:type="dxa"/>
            <w:gridSpan w:val="3"/>
            <w:vAlign w:val="center"/>
          </w:tcPr>
          <w:p w:rsidR="00E16BA4" w:rsidRPr="00232332" w:rsidRDefault="00E16BA4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E16BA4" w:rsidRPr="00232332" w:rsidRDefault="00E16BA4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E16BA4" w:rsidRPr="00232332" w:rsidTr="00E42A0F">
        <w:trPr>
          <w:trHeight w:val="1750"/>
        </w:trPr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E16BA4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</w:rPr>
              <w:t>загальнення даних та підготовка інформації про  результати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оботи у сфері охорони дитинства;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моніторингу публікацій у засобах масової інформації, у тому числі мережі Інтернет, публічної інформації у формі відкритих даних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проектів 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листів орієнтовного та інформаційного характеру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проведення </w:t>
            </w:r>
            <w:proofErr w:type="spellStart"/>
            <w:r w:rsidR="00843A6D" w:rsidRPr="00320A38">
              <w:rPr>
                <w:rFonts w:ascii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 w:rsidR="00843A6D" w:rsidRPr="00320A38">
              <w:rPr>
                <w:rFonts w:ascii="Times New Roman" w:hAnsi="Times New Roman" w:cs="Times New Roman"/>
                <w:sz w:val="24"/>
                <w:szCs w:val="24"/>
              </w:rPr>
              <w:t xml:space="preserve"> та узагальнень.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Підготовка проектів документів аналітичного та методичного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характеру;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ідготовка матеріалів відділу на розгляд нарад, організаційних та навчально-методичних заходів, забезпечення контролю за виконанням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протоколів, рішень;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tabs>
                <w:tab w:val="left" w:pos="72"/>
              </w:tabs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загальнення практики судового розгляду кримінальних проваджень за участі неповнолітніх та у сфері охорони дитинства, рішень Верховного Суду, Європейського суду з прав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3A6D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обліку кримінальних проваджень, які перебувають на контролі Офісу Генерального прокурора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Київської міської прокуратури;</w:t>
            </w:r>
          </w:p>
          <w:p w:rsidR="00826A3E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26A3E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A3E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з</w:t>
            </w:r>
            <w:r w:rsidR="00826A3E" w:rsidRPr="00320A38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«ОСОП». Перевірка об'єктивності показників звітності про прокурор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ську роботу місцевих прокуратур;</w:t>
            </w:r>
          </w:p>
          <w:p w:rsidR="00826A3E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6A3E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 проектів інформаційних повідомлень щодо діяльності у сфері захисту інтерес</w:t>
            </w:r>
            <w:r w:rsidR="00493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 дітей та протидії насильству;</w:t>
            </w:r>
          </w:p>
          <w:p w:rsidR="00843A6D" w:rsidRPr="00320A38" w:rsidRDefault="00320A38" w:rsidP="00320A38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6A3E" w:rsidRPr="00320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иконання інших  доручень та завдань керівника відділу.</w:t>
            </w:r>
          </w:p>
        </w:tc>
      </w:tr>
      <w:tr w:rsidR="00E16BA4" w:rsidRPr="00232332" w:rsidTr="00E42A0F">
        <w:trPr>
          <w:trHeight w:val="630"/>
        </w:trPr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611BCB">
              <w:rPr>
                <w:rFonts w:ascii="Times New Roman" w:eastAsia="Calibri" w:hAnsi="Times New Roman" w:cs="Times New Roman"/>
                <w:sz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16BA4" w:rsidRPr="00232332" w:rsidTr="00E42A0F"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про строковість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призначення на посаду</w:t>
            </w:r>
          </w:p>
          <w:p w:rsidR="00E16BA4" w:rsidRPr="00232332" w:rsidRDefault="00E16BA4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E16BA4" w:rsidRPr="00232332" w:rsidRDefault="00E16BA4" w:rsidP="0049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4930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E16BA4" w:rsidRPr="00232332" w:rsidTr="00E42A0F"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E16BA4" w:rsidRPr="00232332" w:rsidRDefault="00E16BA4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E16BA4" w:rsidRPr="00232332" w:rsidRDefault="00E16BA4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E16BA4" w:rsidRPr="00232332" w:rsidRDefault="00E16BA4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6BA4" w:rsidRPr="00232332" w:rsidRDefault="00E16BA4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E16BA4" w:rsidRPr="00232332" w:rsidRDefault="00E16BA4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 w:rsidR="00493099">
              <w:rPr>
                <w:rFonts w:ascii="Times New Roman" w:eastAsia="Calibri" w:hAnsi="Times New Roman" w:cs="Times New Roman"/>
                <w:sz w:val="24"/>
              </w:rPr>
              <w:t xml:space="preserve">.00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E16BA4" w:rsidRPr="00232332" w:rsidRDefault="00E16BA4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E16BA4" w:rsidRPr="00232332" w:rsidRDefault="00E16BA4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E16BA4" w:rsidRPr="00232332" w:rsidTr="00E42A0F">
        <w:tc>
          <w:tcPr>
            <w:tcW w:w="3330" w:type="dxa"/>
            <w:gridSpan w:val="2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E16BA4" w:rsidRPr="00FA6017" w:rsidRDefault="00E16BA4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E16BA4" w:rsidRPr="00FA6017" w:rsidRDefault="00E16BA4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E16BA4" w:rsidRPr="00232332" w:rsidTr="00E42A0F">
        <w:tc>
          <w:tcPr>
            <w:tcW w:w="10031" w:type="dxa"/>
            <w:gridSpan w:val="3"/>
          </w:tcPr>
          <w:p w:rsidR="00E16BA4" w:rsidRPr="00232332" w:rsidRDefault="00E16BA4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16BA4" w:rsidRPr="00232332" w:rsidTr="00E42A0F">
        <w:tc>
          <w:tcPr>
            <w:tcW w:w="67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не нижче ступеня молодшого бакалавра або </w:t>
            </w:r>
            <w:r w:rsidR="00493099"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бакалавра</w:t>
            </w:r>
            <w:r w:rsidR="0049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(спеціальність «Правознавство»/ «Право»)</w:t>
            </w:r>
          </w:p>
        </w:tc>
      </w:tr>
      <w:tr w:rsidR="00E16BA4" w:rsidRPr="00232332" w:rsidTr="00E42A0F">
        <w:tc>
          <w:tcPr>
            <w:tcW w:w="67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E16BA4" w:rsidRPr="00232332" w:rsidTr="00E42A0F">
        <w:tc>
          <w:tcPr>
            <w:tcW w:w="67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E16BA4" w:rsidRPr="00232332" w:rsidRDefault="00E16BA4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E16BA4" w:rsidRDefault="00E16BA4" w:rsidP="00E16BA4"/>
    <w:p w:rsidR="00E16BA4" w:rsidRDefault="00E16BA4" w:rsidP="00E16BA4"/>
    <w:p w:rsidR="00E16BA4" w:rsidRDefault="00E16BA4" w:rsidP="00E16BA4"/>
    <w:p w:rsidR="00532798" w:rsidRDefault="00E16BA4">
      <w:r w:rsidRPr="00E16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A6D" w:rsidRDefault="00843A6D"/>
    <w:sectPr w:rsidR="00843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A64"/>
    <w:multiLevelType w:val="hybridMultilevel"/>
    <w:tmpl w:val="7FEE702C"/>
    <w:lvl w:ilvl="0" w:tplc="5E8C8EC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6CA3"/>
    <w:multiLevelType w:val="hybridMultilevel"/>
    <w:tmpl w:val="D340BEBE"/>
    <w:lvl w:ilvl="0" w:tplc="69A078BA">
      <w:start w:val="30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DFA314F"/>
    <w:multiLevelType w:val="hybridMultilevel"/>
    <w:tmpl w:val="C73CD122"/>
    <w:lvl w:ilvl="0" w:tplc="F0C41FC2">
      <w:start w:val="30"/>
      <w:numFmt w:val="bullet"/>
      <w:lvlText w:val="-"/>
      <w:lvlJc w:val="left"/>
      <w:pPr>
        <w:ind w:left="5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4"/>
    <w:rsid w:val="00320A38"/>
    <w:rsid w:val="0045752E"/>
    <w:rsid w:val="0046232E"/>
    <w:rsid w:val="00493099"/>
    <w:rsid w:val="00532798"/>
    <w:rsid w:val="00611BCB"/>
    <w:rsid w:val="00826A3E"/>
    <w:rsid w:val="00843A6D"/>
    <w:rsid w:val="0099454B"/>
    <w:rsid w:val="00A01E48"/>
    <w:rsid w:val="00E16BA4"/>
    <w:rsid w:val="00E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2020-10-09T07:54:00Z</cp:lastPrinted>
  <dcterms:created xsi:type="dcterms:W3CDTF">2020-10-07T11:56:00Z</dcterms:created>
  <dcterms:modified xsi:type="dcterms:W3CDTF">2020-10-09T11:16:00Z</dcterms:modified>
</cp:coreProperties>
</file>